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32" w:rsidRP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ИЗВЛЕЧЕНИЕ</w:t>
      </w:r>
    </w:p>
    <w:p w:rsidR="00780B32" w:rsidRP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ОТ</w:t>
      </w:r>
    </w:p>
    <w:p w:rsid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НАРЕДБА ЗА РАДИАЦИОННА ЗАЩИТА</w:t>
      </w:r>
    </w:p>
    <w:p w:rsidR="00780B32" w:rsidRPr="00780B32" w:rsidRDefault="00780B32" w:rsidP="00780B3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ДВ бр. </w:t>
      </w:r>
      <w:r w:rsidR="0052728D">
        <w:rPr>
          <w:rFonts w:ascii="Times New Roman" w:hAnsi="Times New Roman" w:cs="Times New Roman"/>
          <w:b/>
          <w:sz w:val="24"/>
          <w:szCs w:val="24"/>
        </w:rPr>
        <w:t>41 от 2004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272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728D">
        <w:rPr>
          <w:rFonts w:ascii="Times New Roman" w:hAnsi="Times New Roman" w:cs="Times New Roman"/>
          <w:b/>
          <w:sz w:val="24"/>
          <w:szCs w:val="24"/>
        </w:rPr>
        <w:t>посл</w:t>
      </w:r>
      <w:proofErr w:type="spellEnd"/>
      <w:r w:rsidR="0052728D">
        <w:rPr>
          <w:rFonts w:ascii="Times New Roman" w:hAnsi="Times New Roman" w:cs="Times New Roman"/>
          <w:b/>
          <w:sz w:val="24"/>
          <w:szCs w:val="24"/>
        </w:rPr>
        <w:t>. изм. и доп. ДВ бр. 37 от 2018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660E" w:rsidRDefault="0000660E" w:rsidP="0052728D">
      <w:pPr>
        <w:pStyle w:val="m"/>
        <w:ind w:firstLine="0"/>
        <w:rPr>
          <w:b/>
          <w:bCs/>
        </w:rPr>
      </w:pPr>
      <w:bookmarkStart w:id="0" w:name="to_paragraph_id38285434"/>
      <w:bookmarkEnd w:id="0"/>
    </w:p>
    <w:p w:rsidR="0000660E" w:rsidRDefault="0000660E" w:rsidP="0052728D">
      <w:pPr>
        <w:pStyle w:val="m"/>
        <w:ind w:firstLine="0"/>
        <w:rPr>
          <w:b/>
          <w:bCs/>
        </w:rPr>
      </w:pPr>
    </w:p>
    <w:p w:rsidR="0052728D" w:rsidRPr="0052728D" w:rsidRDefault="0052728D" w:rsidP="0052728D">
      <w:pPr>
        <w:pStyle w:val="m"/>
        <w:ind w:firstLine="0"/>
      </w:pPr>
      <w:bookmarkStart w:id="1" w:name="_GoBack"/>
      <w:bookmarkEnd w:id="1"/>
      <w:r w:rsidRPr="0052728D">
        <w:rPr>
          <w:b/>
          <w:bCs/>
        </w:rPr>
        <w:t>Чл. 76.</w:t>
      </w:r>
      <w:r w:rsidRPr="0052728D">
        <w:t xml:space="preserve"> (1) </w:t>
      </w:r>
      <w:r w:rsidRPr="0052728D">
        <w:rPr>
          <w:bdr w:val="none" w:sz="0" w:space="0" w:color="auto" w:frame="1"/>
          <w:shd w:val="clear" w:color="auto" w:fill="FFFFFF"/>
        </w:rPr>
        <w:t>Лицензии</w:t>
      </w:r>
      <w:r w:rsidRPr="0052728D">
        <w:t xml:space="preserve">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</w:t>
      </w:r>
      <w:r w:rsidRPr="0052728D">
        <w:rPr>
          <w:bdr w:val="none" w:sz="0" w:space="0" w:color="auto" w:frame="1"/>
          <w:shd w:val="clear" w:color="auto" w:fill="FFFFFF"/>
        </w:rPr>
        <w:t>използване</w:t>
      </w:r>
      <w:r w:rsidRPr="0052728D">
        <w:t xml:space="preserve">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</w:t>
      </w:r>
      <w:proofErr w:type="spellStart"/>
      <w:r w:rsidRPr="0052728D">
        <w:t>високоактивни</w:t>
      </w:r>
      <w:proofErr w:type="spellEnd"/>
      <w:r w:rsidRPr="0052728D">
        <w:t xml:space="preserve"> източници, открити източници или ускорители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заредени частици, както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</w:t>
      </w:r>
      <w:r w:rsidRPr="0052728D">
        <w:rPr>
          <w:bdr w:val="none" w:sz="0" w:space="0" w:color="auto" w:frame="1"/>
          <w:shd w:val="clear" w:color="auto" w:fill="FFFFFF"/>
        </w:rPr>
        <w:t>лицензии</w:t>
      </w:r>
      <w:r w:rsidRPr="0052728D">
        <w:t xml:space="preserve">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производство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ИЙЛ се издават след въвеждане в експлоатация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съответните обекти.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(2) Заявителят уведомява председателя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АЯР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готовността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обекта по ал. 1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въвеждане в експлоатация.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(3) Председателят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АЯР определя със заповед състава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комисия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срок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проверка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обекта с цел установяване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съответствието със заявените данни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обстоятелства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готовността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въвеждане в експлоатация.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(4) В комисията по ал. 3 могат да се включват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представители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други органи, които осъществяват специализиран контрол.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(5) Заявителят по ал. 2 представя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комисията: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1. документите по </w:t>
      </w:r>
      <w:hyperlink r:id="rId5" w:history="1">
        <w:r w:rsidRPr="0052728D">
          <w:rPr>
            <w:rStyle w:val="Hyperlink"/>
          </w:rPr>
          <w:t xml:space="preserve">чл. 75, ал. 2 </w:t>
        </w:r>
        <w:r w:rsidRPr="0052728D">
          <w:rPr>
            <w:rStyle w:val="Hyperlink"/>
            <w:bdr w:val="none" w:sz="0" w:space="0" w:color="auto" w:frame="1"/>
            <w:shd w:val="clear" w:color="auto" w:fill="FFFFFF"/>
          </w:rPr>
          <w:t>и</w:t>
        </w:r>
        <w:r w:rsidRPr="0052728D">
          <w:rPr>
            <w:rStyle w:val="Hyperlink"/>
          </w:rPr>
          <w:t xml:space="preserve"> 3</w:t>
        </w:r>
      </w:hyperlink>
      <w:r w:rsidRPr="0052728D">
        <w:t xml:space="preserve">; 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2. приходно-разходна книга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отчет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контрол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ИЙЛ;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3. дневник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начален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периодичен инструктаж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персонала по радиационна защита;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4. дневници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мониторинг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радиационните характеристики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работната среда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индивидуален мониторинг, индивидуални </w:t>
      </w:r>
      <w:proofErr w:type="spellStart"/>
      <w:r w:rsidRPr="0052728D">
        <w:t>дозиметрични</w:t>
      </w:r>
      <w:proofErr w:type="spellEnd"/>
      <w:r w:rsidRPr="0052728D">
        <w:t xml:space="preserve"> карти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радиационни паспорти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персонала;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5. документи, съдържащи резултатите от предварителните изпитвания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системи </w:t>
      </w:r>
      <w:r w:rsidRPr="0052728D">
        <w:rPr>
          <w:bdr w:val="none" w:sz="0" w:space="0" w:color="auto" w:frame="1"/>
          <w:shd w:val="clear" w:color="auto" w:fill="FFFFFF"/>
        </w:rPr>
        <w:t>и</w:t>
      </w:r>
      <w:r w:rsidRPr="0052728D">
        <w:t xml:space="preserve"> оборудване;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6. протокол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установяване годността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ползване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строежа (частта, етапа от него) съгласно образец 16 от </w:t>
      </w:r>
      <w:hyperlink r:id="rId6" w:history="1">
        <w:r w:rsidRPr="0052728D">
          <w:rPr>
            <w:rStyle w:val="Hyperlink"/>
            <w:bdr w:val="none" w:sz="0" w:space="0" w:color="auto" w:frame="1"/>
            <w:shd w:val="clear" w:color="auto" w:fill="FFFFFF"/>
          </w:rPr>
          <w:t>Наредба</w:t>
        </w:r>
        <w:r w:rsidRPr="0052728D">
          <w:rPr>
            <w:rStyle w:val="Hyperlink"/>
          </w:rPr>
          <w:t xml:space="preserve"> № 3 от 2003 г. </w:t>
        </w:r>
        <w:r w:rsidRPr="0052728D">
          <w:rPr>
            <w:rStyle w:val="Hyperlink"/>
            <w:bdr w:val="none" w:sz="0" w:space="0" w:color="auto" w:frame="1"/>
            <w:shd w:val="clear" w:color="auto" w:fill="FFFFFF"/>
          </w:rPr>
          <w:t>за</w:t>
        </w:r>
        <w:r w:rsidRPr="0052728D">
          <w:rPr>
            <w:rStyle w:val="Hyperlink"/>
          </w:rPr>
          <w:t xml:space="preserve"> съставяне </w:t>
        </w:r>
        <w:r w:rsidRPr="0052728D">
          <w:rPr>
            <w:rStyle w:val="Hyperlink"/>
            <w:bdr w:val="none" w:sz="0" w:space="0" w:color="auto" w:frame="1"/>
            <w:shd w:val="clear" w:color="auto" w:fill="FFFFFF"/>
          </w:rPr>
          <w:t>на</w:t>
        </w:r>
        <w:r w:rsidRPr="0052728D">
          <w:rPr>
            <w:rStyle w:val="Hyperlink"/>
          </w:rPr>
          <w:t xml:space="preserve"> актове </w:t>
        </w:r>
        <w:r w:rsidRPr="0052728D">
          <w:rPr>
            <w:rStyle w:val="Hyperlink"/>
            <w:bdr w:val="none" w:sz="0" w:space="0" w:color="auto" w:frame="1"/>
            <w:shd w:val="clear" w:color="auto" w:fill="FFFFFF"/>
          </w:rPr>
          <w:t>и</w:t>
        </w:r>
        <w:r w:rsidRPr="0052728D">
          <w:rPr>
            <w:rStyle w:val="Hyperlink"/>
          </w:rPr>
          <w:t xml:space="preserve"> протоколи по време </w:t>
        </w:r>
        <w:r w:rsidRPr="0052728D">
          <w:rPr>
            <w:rStyle w:val="Hyperlink"/>
            <w:bdr w:val="none" w:sz="0" w:space="0" w:color="auto" w:frame="1"/>
            <w:shd w:val="clear" w:color="auto" w:fill="FFFFFF"/>
          </w:rPr>
          <w:t>на</w:t>
        </w:r>
        <w:r w:rsidRPr="0052728D">
          <w:rPr>
            <w:rStyle w:val="Hyperlink"/>
          </w:rPr>
          <w:t xml:space="preserve"> строителството</w:t>
        </w:r>
      </w:hyperlink>
      <w:r w:rsidRPr="0052728D">
        <w:t>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(6)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резултатите от проверката комисията съставя констативен протокол със заключение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готовността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обекта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въвеждане в експлоатация.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(7) Протоколът по ал. 6 се връчва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заявителя или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упълномощен негов представител в 5-дневен срок след приключването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проверката. Забележките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комисията се отстраняват,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което заявителят уведомява писмено АЯР.</w:t>
      </w:r>
    </w:p>
    <w:p w:rsidR="0052728D" w:rsidRPr="0052728D" w:rsidRDefault="0052728D" w:rsidP="0052728D">
      <w:pPr>
        <w:pStyle w:val="NormalWeb"/>
        <w:ind w:firstLine="0"/>
      </w:pPr>
      <w:r w:rsidRPr="0052728D">
        <w:t xml:space="preserve">(8) Положителното заключение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комисията, отразено в протокола по ал. 6, е основание </w:t>
      </w:r>
      <w:r w:rsidRPr="0052728D">
        <w:rPr>
          <w:bdr w:val="none" w:sz="0" w:space="0" w:color="auto" w:frame="1"/>
          <w:shd w:val="clear" w:color="auto" w:fill="FFFFFF"/>
        </w:rPr>
        <w:t>за</w:t>
      </w:r>
      <w:r w:rsidRPr="0052728D">
        <w:t xml:space="preserve"> издаването </w:t>
      </w:r>
      <w:r w:rsidRPr="0052728D">
        <w:rPr>
          <w:bdr w:val="none" w:sz="0" w:space="0" w:color="auto" w:frame="1"/>
          <w:shd w:val="clear" w:color="auto" w:fill="FFFFFF"/>
        </w:rPr>
        <w:t>на</w:t>
      </w:r>
      <w:r w:rsidRPr="0052728D">
        <w:t xml:space="preserve"> лицензиите по ал. 1.</w:t>
      </w:r>
    </w:p>
    <w:p w:rsidR="00780B32" w:rsidRPr="00780B32" w:rsidRDefault="00780B32" w:rsidP="005272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B32" w:rsidRPr="0078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2"/>
    <w:rsid w:val="0000660E"/>
    <w:rsid w:val="0052728D"/>
    <w:rsid w:val="00780B32"/>
    <w:rsid w:val="00906A7C"/>
    <w:rsid w:val="00F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ef1">
    <w:name w:val="ldef1"/>
    <w:basedOn w:val="DefaultParagraphFont"/>
    <w:rsid w:val="00780B32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728D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728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52728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52728D"/>
    <w:rPr>
      <w:rFonts w:ascii="Times New Roman" w:hAnsi="Times New Roman" w:cs="Times New Roman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ef1">
    <w:name w:val="ldef1"/>
    <w:basedOn w:val="DefaultParagraphFont"/>
    <w:rsid w:val="00780B32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728D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728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52728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52728D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81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6537&amp;Type=201/" TargetMode="External"/><Relationship Id="rId5" Type="http://schemas.openxmlformats.org/officeDocument/2006/relationships/hyperlink" Target="apis://NORM|86777|8|75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Todorov</dc:creator>
  <cp:lastModifiedBy>Nikolay Todorov</cp:lastModifiedBy>
  <cp:revision>4</cp:revision>
  <dcterms:created xsi:type="dcterms:W3CDTF">2018-06-25T11:56:00Z</dcterms:created>
  <dcterms:modified xsi:type="dcterms:W3CDTF">2018-06-25T12:02:00Z</dcterms:modified>
</cp:coreProperties>
</file>